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FF" w:rsidRPr="00CE6CFF" w:rsidRDefault="00CE6CFF" w:rsidP="00AB5FCA">
      <w:pPr>
        <w:widowControl/>
        <w:spacing w:line="405" w:lineRule="atLeast"/>
        <w:jc w:val="center"/>
        <w:rPr>
          <w:rFonts w:ascii="方正小标宋简体" w:eastAsia="方正小标宋简体" w:hAnsi="方正小标宋_GBK" w:cs="方正小标宋_GBK"/>
          <w:bCs/>
          <w:color w:val="000000"/>
          <w:kern w:val="0"/>
          <w:sz w:val="36"/>
          <w:szCs w:val="36"/>
        </w:rPr>
      </w:pPr>
      <w:r w:rsidRPr="00CE6CFF">
        <w:rPr>
          <w:rFonts w:ascii="方正小标宋简体" w:eastAsia="方正小标宋简体" w:hAnsi="方正小标宋_GBK" w:cs="方正小标宋_GBK" w:hint="eastAsia"/>
          <w:bCs/>
          <w:color w:val="000000"/>
          <w:kern w:val="0"/>
          <w:sz w:val="36"/>
          <w:szCs w:val="36"/>
        </w:rPr>
        <w:t>2018年</w:t>
      </w:r>
      <w:r w:rsidR="00AB5FCA">
        <w:rPr>
          <w:rFonts w:ascii="方正小标宋简体" w:eastAsia="方正小标宋简体" w:hAnsi="方正小标宋_GBK" w:cs="方正小标宋_GBK" w:hint="eastAsia"/>
          <w:bCs/>
          <w:color w:val="000000"/>
          <w:kern w:val="0"/>
          <w:sz w:val="36"/>
          <w:szCs w:val="36"/>
        </w:rPr>
        <w:t>新疆生产建设</w:t>
      </w:r>
      <w:r w:rsidRPr="00CE6CFF">
        <w:rPr>
          <w:rFonts w:ascii="方正小标宋简体" w:eastAsia="方正小标宋简体" w:hAnsi="方正小标宋_GBK" w:cs="方正小标宋_GBK" w:hint="eastAsia"/>
          <w:bCs/>
          <w:color w:val="000000"/>
          <w:kern w:val="0"/>
          <w:sz w:val="36"/>
          <w:szCs w:val="36"/>
        </w:rPr>
        <w:t>兵团面向社会公开招聘事业单位工作人员专业参考目录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000"/>
      </w:tblPr>
      <w:tblGrid>
        <w:gridCol w:w="2654"/>
        <w:gridCol w:w="3774"/>
        <w:gridCol w:w="3774"/>
      </w:tblGrid>
      <w:tr w:rsidR="00CE6CFF" w:rsidTr="00B34EF5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 w:rsidR="00CE6CFF" w:rsidTr="00B34EF5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（八）社会学类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 w:rsidR="00CE6CFF" w:rsidRPr="00A441C9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Pr="00A441C9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41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 w:rsidR="00CE6CFF" w:rsidTr="00B34EF5">
        <w:trPr>
          <w:trHeight w:val="3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础教育，数学教育</w:t>
            </w:r>
          </w:p>
        </w:tc>
      </w:tr>
      <w:tr w:rsidR="00CE6CFF" w:rsidTr="00B34EF5">
        <w:trPr>
          <w:trHeight w:val="7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（十四）心理学类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 w:rsidR="00CE6CFF" w:rsidTr="00B34EF5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 w:rsidR="00CE6CFF" w:rsidTr="00B34EF5">
        <w:trPr>
          <w:trHeight w:val="18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（十九）历史学类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 w:rsidR="00CE6CFF" w:rsidTr="00B34EF5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 w:rsidR="00CE6CFF" w:rsidTr="00B34EF5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CE6CFF" w:rsidTr="00B34EF5">
        <w:trPr>
          <w:trHeight w:val="13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 w:rsidR="00CE6CFF" w:rsidTr="00B34EF5">
        <w:trPr>
          <w:trHeight w:val="14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 w:rsidR="00CE6CFF" w:rsidTr="00B34EF5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 w:rsidR="00CE6CFF" w:rsidTr="00B34EF5">
        <w:trPr>
          <w:trHeight w:val="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 w:rsidR="00CE6CFF" w:rsidTr="00B34EF5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 w:rsidR="00CE6CFF" w:rsidTr="00B34EF5">
        <w:trPr>
          <w:trHeight w:val="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 w:rsidR="00CE6CFF" w:rsidTr="00B34EF5">
        <w:trPr>
          <w:trHeight w:val="33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（三十）系统理论类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 w:rsidR="00CE6CFF" w:rsidTr="00B34EF5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（三十七）能源动力类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 w:rsidR="00CE6CFF" w:rsidTr="00B34EF5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 w:rsidR="00CE6CFF" w:rsidTr="00B34EF5">
        <w:trPr>
          <w:trHeight w:val="34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 w:rsidR="00CE6CFF" w:rsidTr="00B34EF5">
        <w:trPr>
          <w:trHeight w:val="9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 w:rsidR="00CE6CFF" w:rsidTr="00B34EF5">
        <w:trPr>
          <w:trHeight w:val="60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（四十二）土木类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 w:rsidR="00CE6CFF" w:rsidTr="00B34EF5">
        <w:trPr>
          <w:trHeight w:val="18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 w:rsidR="00CE6CFF" w:rsidTr="00B34EF5">
        <w:trPr>
          <w:trHeight w:val="11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 w:rsidR="00CE6CFF" w:rsidTr="00B34EF5">
        <w:trPr>
          <w:trHeight w:val="24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 w:rsidR="00CE6CFF" w:rsidTr="00B34EF5">
        <w:trPr>
          <w:trHeight w:val="13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 w:rsidR="00CE6CFF" w:rsidTr="00B34EF5">
        <w:trPr>
          <w:trHeight w:val="15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 w:rsidR="00CE6CFF" w:rsidTr="00B34EF5">
        <w:trPr>
          <w:trHeight w:val="9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 w:rsidR="00CE6CFF" w:rsidTr="00B34EF5">
        <w:trPr>
          <w:trHeight w:val="21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（五十）交通运输类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 w:rsidR="00CE6CFF" w:rsidTr="00B34EF5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 w:rsidR="00CE6CFF" w:rsidTr="00B34EF5">
        <w:trPr>
          <w:trHeight w:val="31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 w:rsidR="00CE6CFF" w:rsidTr="00B34EF5">
        <w:trPr>
          <w:trHeight w:val="18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 w:rsidR="00CE6CFF" w:rsidTr="00B34EF5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 w:rsidR="00CE6CFF" w:rsidTr="00B34EF5">
        <w:trPr>
          <w:trHeight w:val="7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 w:rsidR="00CE6CFF" w:rsidTr="00B34EF5">
        <w:trPr>
          <w:trHeight w:val="1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（五十七）环境科学与工程类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（六十六）自然保护与环境生态类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 w:rsidR="00CE6CFF" w:rsidTr="00B34EF5">
        <w:trPr>
          <w:trHeight w:val="19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 w:rsidR="00CE6CFF" w:rsidTr="00B34EF5">
        <w:trPr>
          <w:trHeight w:val="81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 w:rsidR="00CE6CFF" w:rsidTr="00B34EF5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 w:rsidR="00CE6CFF" w:rsidTr="00B34EF5">
        <w:trPr>
          <w:trHeight w:val="19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 w:rsidR="00CE6CFF" w:rsidTr="00B34EF5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CE6CFF" w:rsidTr="00B34EF5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（七十八）药学类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 w:rsidR="00CE6CFF" w:rsidTr="00B34EF5">
        <w:trPr>
          <w:trHeight w:val="14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 w:rsidR="00CE6CFF" w:rsidTr="00B34EF5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 w:rsidR="00CE6CFF" w:rsidTr="00B34EF5">
        <w:trPr>
          <w:trHeight w:val="12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 w:rsidR="00CE6CFF" w:rsidTr="00B34EF5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CE6CFF" w:rsidTr="00B34EF5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 w:rsidR="00CE6CFF" w:rsidTr="00B34EF5">
        <w:trPr>
          <w:trHeight w:val="3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 w:rsidR="00CE6CFF" w:rsidTr="00B34EF5">
        <w:trPr>
          <w:trHeight w:val="120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（八十六）公共管理类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 w:rsidR="00CE6CFF" w:rsidTr="00B34EF5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 w:rsidR="00CE6CFF" w:rsidTr="00B34EF5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 w:rsidR="00CE6CFF" w:rsidTr="00B34EF5">
        <w:trPr>
          <w:trHeight w:val="9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 w:rsidR="00CE6CFF" w:rsidTr="00B34EF5">
        <w:trPr>
          <w:trHeight w:val="7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（九十五）设计学类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 w:rsidR="00CE6CFF" w:rsidTr="00B34EF5">
        <w:trPr>
          <w:trHeight w:val="172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 w:rsidR="00CE6CFF" w:rsidTr="00B34EF5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 w:rsidR="00CE6CFF" w:rsidTr="00B34EF5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 w:rsidR="00CE6CFF" w:rsidTr="00B34EF5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CFF" w:rsidRDefault="00CE6CFF" w:rsidP="00B34EF5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 w:rsidR="00CE6CFF" w:rsidRDefault="00CE6CFF" w:rsidP="00CE6CFF">
      <w:pPr>
        <w:pStyle w:val="a6"/>
        <w:spacing w:line="520" w:lineRule="exact"/>
        <w:rPr>
          <w:rFonts w:ascii="Times New Roman"/>
          <w:snapToGrid w:val="0"/>
        </w:rPr>
      </w:pPr>
    </w:p>
    <w:p w:rsidR="008C282D" w:rsidRPr="00CE6CFF" w:rsidRDefault="008C282D"/>
    <w:sectPr w:rsidR="008C282D" w:rsidRPr="00CE6CFF" w:rsidSect="00771876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247" w:bottom="1474" w:left="1474" w:header="851" w:footer="126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3B" w:rsidRDefault="008D243B" w:rsidP="00CE6CFF">
      <w:r>
        <w:separator/>
      </w:r>
    </w:p>
  </w:endnote>
  <w:endnote w:type="continuationSeparator" w:id="1">
    <w:p w:rsidR="008D243B" w:rsidRDefault="008D243B" w:rsidP="00CE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BA" w:rsidRDefault="00053B95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8C282D">
      <w:rPr>
        <w:rStyle w:val="a5"/>
      </w:rPr>
      <w:instrText xml:space="preserve">PAGE  </w:instrText>
    </w:r>
    <w:r>
      <w:fldChar w:fldCharType="end"/>
    </w:r>
  </w:p>
  <w:p w:rsidR="00030FBA" w:rsidRDefault="008D243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287"/>
    </w:tblGrid>
    <w:tr w:rsidR="00030FBA">
      <w:tc>
        <w:tcPr>
          <w:tcW w:w="9287" w:type="dxa"/>
        </w:tcPr>
        <w:p w:rsidR="00030FBA" w:rsidRDefault="008C282D">
          <w:pPr>
            <w:pStyle w:val="a4"/>
            <w:ind w:right="360"/>
            <w:jc w:val="center"/>
            <w:rPr>
              <w:rFonts w:ascii="方正楷体简体" w:eastAsia="方正楷体简体"/>
              <w:sz w:val="28"/>
              <w:szCs w:val="28"/>
            </w:rPr>
          </w:pPr>
          <w:r>
            <w:rPr>
              <w:rFonts w:ascii="方正楷体简体" w:eastAsia="方正楷体简体" w:hint="eastAsia"/>
              <w:sz w:val="28"/>
              <w:szCs w:val="28"/>
            </w:rPr>
            <w:t xml:space="preserve">- </w:t>
          </w:r>
          <w:r w:rsidR="00053B95">
            <w:rPr>
              <w:sz w:val="24"/>
              <w:szCs w:val="24"/>
            </w:rPr>
            <w:fldChar w:fldCharType="begin"/>
          </w:r>
          <w:r>
            <w:rPr>
              <w:rStyle w:val="a5"/>
              <w:szCs w:val="24"/>
            </w:rPr>
            <w:instrText xml:space="preserve"> PAGE </w:instrText>
          </w:r>
          <w:r w:rsidR="00053B95">
            <w:rPr>
              <w:sz w:val="24"/>
              <w:szCs w:val="24"/>
            </w:rPr>
            <w:fldChar w:fldCharType="separate"/>
          </w:r>
          <w:r w:rsidR="00A441C9">
            <w:rPr>
              <w:rStyle w:val="a5"/>
              <w:noProof/>
              <w:szCs w:val="24"/>
            </w:rPr>
            <w:t>13</w:t>
          </w:r>
          <w:r w:rsidR="00053B95">
            <w:rPr>
              <w:sz w:val="24"/>
              <w:szCs w:val="24"/>
            </w:rPr>
            <w:fldChar w:fldCharType="end"/>
          </w:r>
          <w:r>
            <w:rPr>
              <w:rFonts w:ascii="方正楷体简体" w:eastAsia="方正楷体简体" w:hint="eastAsia"/>
              <w:sz w:val="28"/>
              <w:szCs w:val="28"/>
            </w:rPr>
            <w:t>-</w:t>
          </w:r>
        </w:p>
      </w:tc>
    </w:tr>
  </w:tbl>
  <w:p w:rsidR="00030FBA" w:rsidRDefault="008D243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09D" w:rsidRDefault="0052709D"/>
  <w:tbl>
    <w:tblPr>
      <w:tblW w:w="0" w:type="auto"/>
      <w:tblBorders>
        <w:top w:val="single" w:sz="8" w:space="0" w:color="auto"/>
      </w:tblBorders>
      <w:tblLayout w:type="fixed"/>
      <w:tblLook w:val="0000"/>
    </w:tblPr>
    <w:tblGrid>
      <w:gridCol w:w="9287"/>
    </w:tblGrid>
    <w:tr w:rsidR="00030FBA">
      <w:trPr>
        <w:trHeight w:val="136"/>
      </w:trPr>
      <w:tc>
        <w:tcPr>
          <w:tcW w:w="9287" w:type="dxa"/>
        </w:tcPr>
        <w:p w:rsidR="00030FBA" w:rsidRDefault="008C282D">
          <w:pPr>
            <w:pStyle w:val="a4"/>
            <w:wordWrap w:val="0"/>
            <w:jc w:val="right"/>
            <w:rPr>
              <w:rFonts w:ascii="方正楷体简体" w:eastAsia="方正楷体简体"/>
              <w:sz w:val="28"/>
              <w:szCs w:val="28"/>
            </w:rPr>
          </w:pPr>
          <w:r>
            <w:rPr>
              <w:rFonts w:ascii="方正楷体简体" w:eastAsia="方正楷体简体" w:hint="eastAsia"/>
              <w:sz w:val="28"/>
              <w:szCs w:val="28"/>
            </w:rPr>
            <w:t xml:space="preserve">共 </w:t>
          </w:r>
          <w:r w:rsidR="00053B95">
            <w:rPr>
              <w:rFonts w:eastAsia="方正楷体简体"/>
              <w:sz w:val="28"/>
              <w:szCs w:val="28"/>
            </w:rPr>
            <w:fldChar w:fldCharType="begin"/>
          </w:r>
          <w:r>
            <w:rPr>
              <w:rStyle w:val="a5"/>
              <w:rFonts w:eastAsia="方正楷体简体"/>
              <w:sz w:val="28"/>
              <w:szCs w:val="28"/>
            </w:rPr>
            <w:instrText xml:space="preserve"> NUMPAGES </w:instrText>
          </w:r>
          <w:r w:rsidR="00053B95">
            <w:rPr>
              <w:rFonts w:eastAsia="方正楷体简体"/>
              <w:sz w:val="28"/>
              <w:szCs w:val="28"/>
            </w:rPr>
            <w:fldChar w:fldCharType="separate"/>
          </w:r>
          <w:r w:rsidR="00A441C9">
            <w:rPr>
              <w:rStyle w:val="a5"/>
              <w:rFonts w:eastAsia="方正楷体简体"/>
              <w:noProof/>
              <w:sz w:val="28"/>
              <w:szCs w:val="28"/>
            </w:rPr>
            <w:t>13</w:t>
          </w:r>
          <w:r w:rsidR="00053B95">
            <w:rPr>
              <w:rFonts w:eastAsia="方正楷体简体"/>
              <w:sz w:val="28"/>
              <w:szCs w:val="28"/>
            </w:rPr>
            <w:fldChar w:fldCharType="end"/>
          </w:r>
          <w:r>
            <w:rPr>
              <w:rFonts w:ascii="方正楷体简体" w:eastAsia="方正楷体简体" w:hint="eastAsia"/>
              <w:sz w:val="28"/>
              <w:szCs w:val="28"/>
            </w:rPr>
            <w:t xml:space="preserve"> 页</w:t>
          </w:r>
        </w:p>
      </w:tc>
    </w:tr>
  </w:tbl>
  <w:p w:rsidR="00030FBA" w:rsidRDefault="008D24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3B" w:rsidRDefault="008D243B" w:rsidP="00CE6CFF">
      <w:r>
        <w:separator/>
      </w:r>
    </w:p>
  </w:footnote>
  <w:footnote w:type="continuationSeparator" w:id="1">
    <w:p w:rsidR="008D243B" w:rsidRDefault="008D243B" w:rsidP="00CE6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BA" w:rsidRDefault="008D243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BA" w:rsidRDefault="008C282D">
    <w:pPr>
      <w:jc w:val="left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CFF"/>
    <w:rsid w:val="00053B95"/>
    <w:rsid w:val="00103569"/>
    <w:rsid w:val="0052709D"/>
    <w:rsid w:val="008C282D"/>
    <w:rsid w:val="008D243B"/>
    <w:rsid w:val="00A441C9"/>
    <w:rsid w:val="00AB5FCA"/>
    <w:rsid w:val="00C872A7"/>
    <w:rsid w:val="00CE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E6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CFF"/>
    <w:rPr>
      <w:sz w:val="18"/>
      <w:szCs w:val="18"/>
    </w:rPr>
  </w:style>
  <w:style w:type="paragraph" w:styleId="a4">
    <w:name w:val="footer"/>
    <w:basedOn w:val="a"/>
    <w:link w:val="Char0"/>
    <w:unhideWhenUsed/>
    <w:rsid w:val="00CE6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CFF"/>
    <w:rPr>
      <w:sz w:val="18"/>
      <w:szCs w:val="18"/>
    </w:rPr>
  </w:style>
  <w:style w:type="character" w:styleId="a5">
    <w:name w:val="page number"/>
    <w:basedOn w:val="a0"/>
    <w:rsid w:val="00CE6CFF"/>
    <w:rPr>
      <w:rFonts w:ascii="Tahoma" w:hAnsi="Tahoma"/>
      <w:sz w:val="24"/>
      <w:szCs w:val="20"/>
    </w:rPr>
  </w:style>
  <w:style w:type="character" w:customStyle="1" w:styleId="Char1">
    <w:name w:val="正文文本 Char"/>
    <w:link w:val="a6"/>
    <w:rsid w:val="00CE6CFF"/>
    <w:rPr>
      <w:rFonts w:ascii="仿宋_GB2312" w:eastAsia="仿宋_GB2312" w:hAnsi="Tahoma"/>
      <w:spacing w:val="-20"/>
      <w:sz w:val="32"/>
      <w:szCs w:val="20"/>
    </w:rPr>
  </w:style>
  <w:style w:type="paragraph" w:styleId="a6">
    <w:name w:val="Body Text"/>
    <w:basedOn w:val="a"/>
    <w:link w:val="Char1"/>
    <w:rsid w:val="00CE6CFF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 w:hAnsi="Tahoma"/>
      <w:spacing w:val="-20"/>
      <w:sz w:val="32"/>
      <w:szCs w:val="20"/>
    </w:rPr>
  </w:style>
  <w:style w:type="character" w:customStyle="1" w:styleId="Char10">
    <w:name w:val="正文文本 Char1"/>
    <w:basedOn w:val="a0"/>
    <w:link w:val="a6"/>
    <w:uiPriority w:val="99"/>
    <w:semiHidden/>
    <w:rsid w:val="00CE6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2058</Words>
  <Characters>11734</Characters>
  <Application>Microsoft Office Word</Application>
  <DocSecurity>0</DocSecurity>
  <Lines>97</Lines>
  <Paragraphs>27</Paragraphs>
  <ScaleCrop>false</ScaleCrop>
  <Company/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9</cp:revision>
  <dcterms:created xsi:type="dcterms:W3CDTF">2018-10-22T04:03:00Z</dcterms:created>
  <dcterms:modified xsi:type="dcterms:W3CDTF">2018-10-22T06:28:00Z</dcterms:modified>
</cp:coreProperties>
</file>